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790" w:rsidRDefault="00D81790" w:rsidP="00733A0F">
      <w:pPr>
        <w:spacing w:after="0" w:line="480" w:lineRule="auto"/>
        <w:contextualSpacing/>
        <w:jc w:val="center"/>
        <w:rPr>
          <w:rFonts w:ascii="Times New Roman" w:hAnsi="Times New Roman" w:cs="Times New Roman"/>
          <w:sz w:val="24"/>
          <w:szCs w:val="24"/>
        </w:rPr>
      </w:pPr>
    </w:p>
    <w:p w:rsidR="00D81790" w:rsidRDefault="00D81790" w:rsidP="00733A0F">
      <w:pPr>
        <w:spacing w:after="0" w:line="480" w:lineRule="auto"/>
        <w:contextualSpacing/>
        <w:jc w:val="center"/>
        <w:rPr>
          <w:rFonts w:ascii="Times New Roman" w:hAnsi="Times New Roman" w:cs="Times New Roman"/>
          <w:sz w:val="24"/>
          <w:szCs w:val="24"/>
        </w:rPr>
      </w:pPr>
    </w:p>
    <w:p w:rsidR="00D81790" w:rsidRDefault="00D81790" w:rsidP="00733A0F">
      <w:pPr>
        <w:spacing w:after="0" w:line="480" w:lineRule="auto"/>
        <w:contextualSpacing/>
        <w:jc w:val="center"/>
        <w:rPr>
          <w:rFonts w:ascii="Times New Roman" w:hAnsi="Times New Roman" w:cs="Times New Roman"/>
          <w:sz w:val="24"/>
          <w:szCs w:val="24"/>
        </w:rPr>
      </w:pPr>
    </w:p>
    <w:p w:rsidR="00D81790" w:rsidRDefault="00D81790" w:rsidP="00733A0F">
      <w:pPr>
        <w:spacing w:after="0" w:line="480" w:lineRule="auto"/>
        <w:contextualSpacing/>
        <w:jc w:val="center"/>
        <w:rPr>
          <w:rFonts w:ascii="Times New Roman" w:hAnsi="Times New Roman" w:cs="Times New Roman"/>
          <w:sz w:val="24"/>
          <w:szCs w:val="24"/>
        </w:rPr>
      </w:pPr>
    </w:p>
    <w:p w:rsidR="00D81790" w:rsidRDefault="00D81790" w:rsidP="00733A0F">
      <w:pPr>
        <w:spacing w:after="0" w:line="480" w:lineRule="auto"/>
        <w:contextualSpacing/>
        <w:jc w:val="center"/>
        <w:rPr>
          <w:rFonts w:ascii="Times New Roman" w:hAnsi="Times New Roman" w:cs="Times New Roman"/>
          <w:sz w:val="24"/>
          <w:szCs w:val="24"/>
        </w:rPr>
      </w:pPr>
    </w:p>
    <w:p w:rsidR="00D81790" w:rsidRDefault="00D81790" w:rsidP="00733A0F">
      <w:pPr>
        <w:spacing w:after="0" w:line="480" w:lineRule="auto"/>
        <w:contextualSpacing/>
        <w:jc w:val="center"/>
        <w:rPr>
          <w:rFonts w:ascii="Times New Roman" w:hAnsi="Times New Roman" w:cs="Times New Roman"/>
          <w:sz w:val="24"/>
          <w:szCs w:val="24"/>
        </w:rPr>
      </w:pPr>
    </w:p>
    <w:p w:rsidR="008C6F5B" w:rsidRDefault="008C6F5B" w:rsidP="00733A0F">
      <w:pPr>
        <w:spacing w:after="0" w:line="480" w:lineRule="auto"/>
        <w:contextualSpacing/>
        <w:jc w:val="center"/>
        <w:rPr>
          <w:rFonts w:ascii="Times New Roman" w:hAnsi="Times New Roman" w:cs="Times New Roman"/>
          <w:sz w:val="24"/>
          <w:szCs w:val="24"/>
        </w:rPr>
      </w:pPr>
    </w:p>
    <w:p w:rsidR="005B3F33" w:rsidRDefault="005B3F33" w:rsidP="00733A0F">
      <w:pPr>
        <w:spacing w:after="0" w:line="480" w:lineRule="auto"/>
        <w:contextualSpacing/>
        <w:jc w:val="center"/>
        <w:rPr>
          <w:rFonts w:ascii="Times New Roman" w:hAnsi="Times New Roman" w:cs="Times New Roman"/>
          <w:sz w:val="24"/>
          <w:szCs w:val="24"/>
        </w:rPr>
      </w:pPr>
    </w:p>
    <w:p w:rsidR="005B3F33" w:rsidRDefault="005B3F33" w:rsidP="00733A0F">
      <w:pPr>
        <w:spacing w:after="0" w:line="480" w:lineRule="auto"/>
        <w:contextualSpacing/>
        <w:jc w:val="center"/>
        <w:rPr>
          <w:rFonts w:ascii="Times New Roman" w:hAnsi="Times New Roman" w:cs="Times New Roman"/>
          <w:sz w:val="24"/>
          <w:szCs w:val="24"/>
        </w:rPr>
      </w:pPr>
      <w:bookmarkStart w:id="0" w:name="_GoBack"/>
      <w:bookmarkEnd w:id="0"/>
    </w:p>
    <w:p w:rsidR="008C6F5B" w:rsidRDefault="008C6F5B" w:rsidP="00733A0F">
      <w:pPr>
        <w:spacing w:after="0" w:line="480" w:lineRule="auto"/>
        <w:contextualSpacing/>
        <w:jc w:val="center"/>
        <w:rPr>
          <w:rFonts w:ascii="Times New Roman" w:hAnsi="Times New Roman" w:cs="Times New Roman"/>
          <w:sz w:val="24"/>
          <w:szCs w:val="24"/>
        </w:rPr>
      </w:pPr>
    </w:p>
    <w:p w:rsidR="007203BD" w:rsidRDefault="00D87E81" w:rsidP="00733A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Financial Management Practices</w:t>
      </w:r>
    </w:p>
    <w:p w:rsidR="00D81790" w:rsidRDefault="00D87E81" w:rsidP="00733A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D81790" w:rsidRDefault="00D87E81" w:rsidP="00733A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81790" w:rsidRPr="00D81790" w:rsidRDefault="00D81790" w:rsidP="00733A0F">
      <w:pPr>
        <w:spacing w:after="0" w:line="480" w:lineRule="auto"/>
        <w:contextualSpacing/>
        <w:rPr>
          <w:rFonts w:ascii="Times New Roman" w:hAnsi="Times New Roman" w:cs="Times New Roman"/>
          <w:sz w:val="24"/>
          <w:szCs w:val="24"/>
        </w:rPr>
      </w:pPr>
    </w:p>
    <w:p w:rsidR="00733A0F" w:rsidRDefault="00733A0F">
      <w:pPr>
        <w:rPr>
          <w:rFonts w:ascii="Times New Roman" w:hAnsi="Times New Roman" w:cs="Times New Roman"/>
          <w:b/>
          <w:sz w:val="24"/>
          <w:szCs w:val="24"/>
        </w:rPr>
      </w:pPr>
      <w:r>
        <w:rPr>
          <w:rFonts w:ascii="Times New Roman" w:hAnsi="Times New Roman" w:cs="Times New Roman"/>
          <w:b/>
          <w:sz w:val="24"/>
          <w:szCs w:val="24"/>
        </w:rPr>
        <w:br w:type="page"/>
      </w:r>
    </w:p>
    <w:p w:rsidR="001B4447" w:rsidRPr="00733A0F" w:rsidRDefault="00D87E81" w:rsidP="00733A0F">
      <w:pPr>
        <w:spacing w:after="0" w:line="480" w:lineRule="auto"/>
        <w:contextualSpacing/>
        <w:jc w:val="center"/>
        <w:rPr>
          <w:rFonts w:ascii="Times New Roman" w:hAnsi="Times New Roman" w:cs="Times New Roman"/>
          <w:b/>
          <w:sz w:val="24"/>
          <w:szCs w:val="24"/>
        </w:rPr>
      </w:pPr>
      <w:r w:rsidRPr="00733A0F">
        <w:rPr>
          <w:rFonts w:ascii="Times New Roman" w:hAnsi="Times New Roman" w:cs="Times New Roman"/>
          <w:b/>
          <w:sz w:val="24"/>
          <w:szCs w:val="24"/>
        </w:rPr>
        <w:lastRenderedPageBreak/>
        <w:t>Executive Summary</w:t>
      </w:r>
    </w:p>
    <w:p w:rsidR="008C6F5B" w:rsidRPr="00EF3BFB" w:rsidRDefault="00D87E81" w:rsidP="00733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Financial management practices correlate to organizational performance; therefore, firms should strive to find holistic managerial solutions to ensure sustainability of their profitability.  Capital structure decisions enable firms to manage their finances</w:t>
      </w:r>
      <w:r>
        <w:rPr>
          <w:rFonts w:ascii="Times New Roman" w:hAnsi="Times New Roman" w:cs="Times New Roman"/>
          <w:sz w:val="24"/>
          <w:szCs w:val="24"/>
        </w:rPr>
        <w:t xml:space="preserve"> to ensure they are operational using funds from various sources. </w:t>
      </w:r>
      <w:r w:rsidR="00EF4AC1">
        <w:rPr>
          <w:rFonts w:ascii="Times New Roman" w:hAnsi="Times New Roman" w:cs="Times New Roman"/>
          <w:sz w:val="24"/>
          <w:szCs w:val="24"/>
        </w:rPr>
        <w:t>Companies practice dividend policies to determine the proportion of their profits that they should pay their shareholders. Financial performance assessment uses multiple ratios to provide statistical data about the growth of a company in comparison to other firms within the industry. Investment appraisal techniques enable firms to utilize net present value, payback period, internal rate of return, adjusted cur</w:t>
      </w:r>
      <w:r w:rsidR="00E64D2D">
        <w:rPr>
          <w:rFonts w:ascii="Times New Roman" w:hAnsi="Times New Roman" w:cs="Times New Roman"/>
          <w:sz w:val="24"/>
          <w:szCs w:val="24"/>
        </w:rPr>
        <w:t>rent value, modified</w:t>
      </w:r>
      <w:r w:rsidR="00EF4AC1">
        <w:rPr>
          <w:rFonts w:ascii="Times New Roman" w:hAnsi="Times New Roman" w:cs="Times New Roman"/>
          <w:sz w:val="24"/>
          <w:szCs w:val="24"/>
        </w:rPr>
        <w:t xml:space="preserve"> an internal rate of return, profitability index, and an equivalent annuity to determine the viability of investment opportunities. </w:t>
      </w:r>
      <w:r w:rsidR="00E64D2D">
        <w:rPr>
          <w:rFonts w:ascii="Times New Roman" w:hAnsi="Times New Roman" w:cs="Times New Roman"/>
          <w:sz w:val="24"/>
          <w:szCs w:val="24"/>
        </w:rPr>
        <w:t>Lastly, working capital management uses in monitoring the current assets and current liabilities to provide a financial image on the efficiency of organizations.</w:t>
      </w:r>
    </w:p>
    <w:p w:rsidR="00EF4AC1" w:rsidRDefault="00D87E81" w:rsidP="00733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Empirical evidence shows that sound financial management practices translate into improvement in the performance of organizations. The operability of institutions that managed well along </w:t>
      </w:r>
      <w:r w:rsidR="008F2E18">
        <w:rPr>
          <w:rFonts w:ascii="Times New Roman" w:hAnsi="Times New Roman" w:cs="Times New Roman"/>
          <w:sz w:val="24"/>
          <w:szCs w:val="24"/>
        </w:rPr>
        <w:t xml:space="preserve">financial terms gives a positive signal to the investors and the regulatory authorities. In this regard, managers play a crucial part in ensuring the success of the financial frameworks within their organizations </w:t>
      </w:r>
      <w:r w:rsidR="00416AEA">
        <w:rPr>
          <w:rFonts w:ascii="Times New Roman" w:hAnsi="Times New Roman" w:cs="Times New Roman"/>
          <w:sz w:val="24"/>
          <w:szCs w:val="24"/>
        </w:rPr>
        <w:t>since they integrate various management practices that align with the demands of the customers and investors. Therefore, it is prudent that the ownership and management of organizations should be separated to avoid interference of the governance infrastructure</w:t>
      </w:r>
      <w:r w:rsidR="000249A4">
        <w:rPr>
          <w:rFonts w:ascii="Times New Roman" w:hAnsi="Times New Roman" w:cs="Times New Roman"/>
          <w:sz w:val="24"/>
          <w:szCs w:val="24"/>
        </w:rPr>
        <w:t xml:space="preserve"> (Butt et al</w:t>
      </w:r>
      <w:r w:rsidR="00416AEA">
        <w:rPr>
          <w:rFonts w:ascii="Times New Roman" w:hAnsi="Times New Roman" w:cs="Times New Roman"/>
          <w:sz w:val="24"/>
          <w:szCs w:val="24"/>
        </w:rPr>
        <w:t>.</w:t>
      </w:r>
      <w:r w:rsidR="000249A4">
        <w:rPr>
          <w:rFonts w:ascii="Times New Roman" w:hAnsi="Times New Roman" w:cs="Times New Roman"/>
          <w:sz w:val="24"/>
          <w:szCs w:val="24"/>
        </w:rPr>
        <w:t>, 2010).</w:t>
      </w:r>
      <w:r w:rsidR="00416AEA">
        <w:rPr>
          <w:rFonts w:ascii="Times New Roman" w:hAnsi="Times New Roman" w:cs="Times New Roman"/>
          <w:sz w:val="24"/>
          <w:szCs w:val="24"/>
        </w:rPr>
        <w:t xml:space="preserve"> The key responsibilities of a manager include implementing financial policies by making appropriate corporate investment decisions, provide compensation, and dividends to investors. Also, they are required to manage debts through equity substitution practices to finance assets. The paper offers a conceptual framework for financial management practices and how it </w:t>
      </w:r>
      <w:r w:rsidR="00416AEA">
        <w:rPr>
          <w:rFonts w:ascii="Times New Roman" w:hAnsi="Times New Roman" w:cs="Times New Roman"/>
          <w:sz w:val="24"/>
          <w:szCs w:val="24"/>
        </w:rPr>
        <w:lastRenderedPageBreak/>
        <w:t>affe</w:t>
      </w:r>
      <w:r w:rsidR="000249A4">
        <w:rPr>
          <w:rFonts w:ascii="Times New Roman" w:hAnsi="Times New Roman" w:cs="Times New Roman"/>
          <w:sz w:val="24"/>
          <w:szCs w:val="24"/>
        </w:rPr>
        <w:t>cts organizational performance. Therefore, discussed below are underpinning management practices such as working capital management, capital structure decision, dividend policy, financial performance assessment, and investment appraisal techniques.</w:t>
      </w:r>
    </w:p>
    <w:p w:rsidR="00733A0F" w:rsidRDefault="00733A0F">
      <w:pPr>
        <w:rPr>
          <w:rFonts w:ascii="Times New Roman" w:hAnsi="Times New Roman" w:cs="Times New Roman"/>
          <w:b/>
          <w:sz w:val="24"/>
          <w:szCs w:val="24"/>
        </w:rPr>
      </w:pPr>
      <w:r>
        <w:rPr>
          <w:rFonts w:ascii="Times New Roman" w:hAnsi="Times New Roman" w:cs="Times New Roman"/>
          <w:b/>
          <w:sz w:val="24"/>
          <w:szCs w:val="24"/>
        </w:rPr>
        <w:br w:type="page"/>
      </w:r>
    </w:p>
    <w:p w:rsidR="00733A0F" w:rsidRDefault="00733A0F" w:rsidP="00733A0F">
      <w:pPr>
        <w:spacing w:after="0" w:line="480" w:lineRule="auto"/>
        <w:ind w:firstLine="720"/>
        <w:contextualSpacing/>
        <w:jc w:val="center"/>
        <w:rPr>
          <w:rFonts w:ascii="Times New Roman" w:hAnsi="Times New Roman" w:cs="Times New Roman"/>
          <w:b/>
          <w:sz w:val="24"/>
          <w:szCs w:val="24"/>
        </w:rPr>
      </w:pPr>
      <w:r w:rsidRPr="00D81790">
        <w:rPr>
          <w:rFonts w:ascii="Times New Roman" w:hAnsi="Times New Roman" w:cs="Times New Roman"/>
          <w:b/>
          <w:sz w:val="24"/>
          <w:szCs w:val="24"/>
        </w:rPr>
        <w:lastRenderedPageBreak/>
        <w:t>Financial Management Practices</w:t>
      </w:r>
    </w:p>
    <w:p w:rsidR="00EF4AC1" w:rsidRPr="00EF4AC1" w:rsidRDefault="00D87E81" w:rsidP="00733A0F">
      <w:pPr>
        <w:spacing w:after="0" w:line="480" w:lineRule="auto"/>
        <w:contextualSpacing/>
        <w:rPr>
          <w:rFonts w:ascii="Times New Roman" w:hAnsi="Times New Roman" w:cs="Times New Roman"/>
          <w:b/>
          <w:sz w:val="24"/>
          <w:szCs w:val="24"/>
        </w:rPr>
      </w:pPr>
      <w:r w:rsidRPr="00EF4AC1">
        <w:rPr>
          <w:rFonts w:ascii="Times New Roman" w:hAnsi="Times New Roman" w:cs="Times New Roman"/>
          <w:b/>
          <w:sz w:val="24"/>
          <w:szCs w:val="24"/>
        </w:rPr>
        <w:t>Capital Structure</w:t>
      </w:r>
    </w:p>
    <w:p w:rsidR="000249A4" w:rsidRDefault="00D87E81" w:rsidP="00733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Capital structure decision </w:t>
      </w:r>
      <w:r w:rsidR="002736D7">
        <w:rPr>
          <w:rFonts w:ascii="Times New Roman" w:hAnsi="Times New Roman" w:cs="Times New Roman"/>
          <w:sz w:val="24"/>
          <w:szCs w:val="24"/>
        </w:rPr>
        <w:t>refers to the various choices that an organization can make when financing its assets. The management practice involves debt-to-equity infrastructure that enables companies to raise capital. The decision making process uses integrative approaches that combine debt and equity to balance the costs and benefits. The optimization of capital is the primary responsibility of the management to maximize the valuation of the corporation. Companies can; therefore, finance their debts consequently enabling them to borrow money from different lenders to raise the capital necessary for their operational expenditures</w:t>
      </w:r>
      <w:r w:rsidR="00394908">
        <w:rPr>
          <w:rFonts w:ascii="Times New Roman" w:hAnsi="Times New Roman" w:cs="Times New Roman"/>
          <w:sz w:val="24"/>
          <w:szCs w:val="24"/>
        </w:rPr>
        <w:t>. The performance of the organizations significantly improves due to ease of access to short-term and long-term loans to purchase assets such as equipment and building. Besides, equity enables companies to obtain funds without incurring liabilities. In this regard, debts have no specific timelines for repayment consequently attracting investors to purchase shares within the organizations while speculating high-profit margins in the future</w:t>
      </w:r>
      <w:r w:rsidR="002C5443">
        <w:rPr>
          <w:rFonts w:ascii="Times New Roman" w:hAnsi="Times New Roman" w:cs="Times New Roman"/>
          <w:sz w:val="24"/>
          <w:szCs w:val="24"/>
        </w:rPr>
        <w:t xml:space="preserve"> (Modugu, 2013)</w:t>
      </w:r>
      <w:r w:rsidR="00394908">
        <w:rPr>
          <w:rFonts w:ascii="Times New Roman" w:hAnsi="Times New Roman" w:cs="Times New Roman"/>
          <w:sz w:val="24"/>
          <w:szCs w:val="24"/>
        </w:rPr>
        <w:t xml:space="preserve">. Also, debt and equity can be used simultaneously to </w:t>
      </w:r>
      <w:r w:rsidR="00F43C6A">
        <w:rPr>
          <w:rFonts w:ascii="Times New Roman" w:hAnsi="Times New Roman" w:cs="Times New Roman"/>
          <w:sz w:val="24"/>
          <w:szCs w:val="24"/>
        </w:rPr>
        <w:t xml:space="preserve">minimize the tradeoffs associated with each </w:t>
      </w:r>
      <w:r w:rsidR="002C5443">
        <w:rPr>
          <w:rFonts w:ascii="Times New Roman" w:hAnsi="Times New Roman" w:cs="Times New Roman"/>
          <w:sz w:val="24"/>
          <w:szCs w:val="24"/>
        </w:rPr>
        <w:t>to enhance financial flexibilities that provide growth opportunities</w:t>
      </w:r>
      <w:r w:rsidR="00F43C6A">
        <w:rPr>
          <w:rFonts w:ascii="Times New Roman" w:hAnsi="Times New Roman" w:cs="Times New Roman"/>
          <w:sz w:val="24"/>
          <w:szCs w:val="24"/>
        </w:rPr>
        <w:t>. The management is; therefore, able to generate returns from its total assets</w:t>
      </w:r>
      <w:r w:rsidR="002C5443">
        <w:rPr>
          <w:rFonts w:ascii="Times New Roman" w:hAnsi="Times New Roman" w:cs="Times New Roman"/>
          <w:sz w:val="24"/>
          <w:szCs w:val="24"/>
        </w:rPr>
        <w:t xml:space="preserve"> through establishing an equilibrium between risks and returns</w:t>
      </w:r>
      <w:r w:rsidR="00F43C6A">
        <w:rPr>
          <w:rFonts w:ascii="Times New Roman" w:hAnsi="Times New Roman" w:cs="Times New Roman"/>
          <w:sz w:val="24"/>
          <w:szCs w:val="24"/>
        </w:rPr>
        <w:t xml:space="preserve">. </w:t>
      </w:r>
      <w:r w:rsidR="002C5443">
        <w:rPr>
          <w:rFonts w:ascii="Times New Roman" w:hAnsi="Times New Roman" w:cs="Times New Roman"/>
          <w:sz w:val="24"/>
          <w:szCs w:val="24"/>
        </w:rPr>
        <w:t xml:space="preserve">The ultimate goal of capital structure decision is to minimize risks that reduce the leverage of the firms in the corporate world. </w:t>
      </w:r>
      <w:r w:rsidR="00394908">
        <w:rPr>
          <w:rFonts w:ascii="Times New Roman" w:hAnsi="Times New Roman" w:cs="Times New Roman"/>
          <w:sz w:val="24"/>
          <w:szCs w:val="24"/>
        </w:rPr>
        <w:t xml:space="preserve"> </w:t>
      </w:r>
      <w:r w:rsidR="002736D7">
        <w:rPr>
          <w:rFonts w:ascii="Times New Roman" w:hAnsi="Times New Roman" w:cs="Times New Roman"/>
          <w:sz w:val="24"/>
          <w:szCs w:val="24"/>
        </w:rPr>
        <w:t xml:space="preserve"> </w:t>
      </w:r>
    </w:p>
    <w:p w:rsidR="00EF4AC1" w:rsidRPr="00EF4AC1" w:rsidRDefault="00D87E81" w:rsidP="00733A0F">
      <w:pPr>
        <w:spacing w:after="0" w:line="480" w:lineRule="auto"/>
        <w:contextualSpacing/>
        <w:rPr>
          <w:rFonts w:ascii="Times New Roman" w:hAnsi="Times New Roman" w:cs="Times New Roman"/>
          <w:b/>
          <w:sz w:val="24"/>
          <w:szCs w:val="24"/>
        </w:rPr>
      </w:pPr>
      <w:r w:rsidRPr="00EF4AC1">
        <w:rPr>
          <w:rFonts w:ascii="Times New Roman" w:hAnsi="Times New Roman" w:cs="Times New Roman"/>
          <w:b/>
          <w:sz w:val="24"/>
          <w:szCs w:val="24"/>
        </w:rPr>
        <w:t>Dividend Policy</w:t>
      </w:r>
    </w:p>
    <w:p w:rsidR="002C5443" w:rsidRDefault="00D87E81" w:rsidP="00733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Moreover, dividend policy refers to the proportion of returns that firms distribute among its shareholders as a for</w:t>
      </w:r>
      <w:r>
        <w:rPr>
          <w:rFonts w:ascii="Times New Roman" w:hAnsi="Times New Roman" w:cs="Times New Roman"/>
          <w:sz w:val="24"/>
          <w:szCs w:val="24"/>
        </w:rPr>
        <w:t xml:space="preserve">m of reward towards their investment. Typically, shareholders are interested in earning optimal dividends </w:t>
      </w:r>
      <w:r w:rsidR="00A81EA2">
        <w:rPr>
          <w:rFonts w:ascii="Times New Roman" w:hAnsi="Times New Roman" w:cs="Times New Roman"/>
          <w:sz w:val="24"/>
          <w:szCs w:val="24"/>
        </w:rPr>
        <w:t xml:space="preserve">while companies need the pool of funds from them to </w:t>
      </w:r>
      <w:r w:rsidR="00A81EA2">
        <w:rPr>
          <w:rFonts w:ascii="Times New Roman" w:hAnsi="Times New Roman" w:cs="Times New Roman"/>
          <w:sz w:val="24"/>
          <w:szCs w:val="24"/>
        </w:rPr>
        <w:lastRenderedPageBreak/>
        <w:t>finance their long-term growth. The managerial structure of organizations should be such that they can retain earnings after the distribution of dividends. A regular dividend policy not ensures the profitability of a company but also provides the satisfaction of the shareholders. Consequently, the shareholders remain confident in the companies to raise profits continually. Furthermore, long-term financing is possible through stabilized market value of shares</w:t>
      </w:r>
      <w:r w:rsidR="00D5103B">
        <w:rPr>
          <w:rFonts w:ascii="Times New Roman" w:hAnsi="Times New Roman" w:cs="Times New Roman"/>
          <w:sz w:val="24"/>
          <w:szCs w:val="24"/>
        </w:rPr>
        <w:t xml:space="preserve"> (Accounting Tools, 2018)</w:t>
      </w:r>
      <w:r w:rsidR="00A81EA2">
        <w:rPr>
          <w:rFonts w:ascii="Times New Roman" w:hAnsi="Times New Roman" w:cs="Times New Roman"/>
          <w:sz w:val="24"/>
          <w:szCs w:val="24"/>
        </w:rPr>
        <w:t xml:space="preserve">. Managers are responsible for preventing shares from </w:t>
      </w:r>
      <w:r w:rsidR="00A734FB">
        <w:rPr>
          <w:rFonts w:ascii="Times New Roman" w:hAnsi="Times New Roman" w:cs="Times New Roman"/>
          <w:sz w:val="24"/>
          <w:szCs w:val="24"/>
        </w:rPr>
        <w:t>varying by establishing an equilibrium that prevents the distribution of surplus or fewer dividends to the shareholders.</w:t>
      </w:r>
      <w:r w:rsidR="00D5103B">
        <w:rPr>
          <w:rFonts w:ascii="Times New Roman" w:hAnsi="Times New Roman" w:cs="Times New Roman"/>
          <w:sz w:val="24"/>
          <w:szCs w:val="24"/>
        </w:rPr>
        <w:t xml:space="preserve"> In this regard, the company can hold onto income-oriented investors who will not sell their shares due to rapid stock price declines. Conclusively, dividend issuance should be a long-term strategy as opposed to short-term financial needs.</w:t>
      </w:r>
    </w:p>
    <w:p w:rsidR="0040718D" w:rsidRPr="0040718D" w:rsidRDefault="00D87E81" w:rsidP="00733A0F">
      <w:pPr>
        <w:spacing w:after="0" w:line="480" w:lineRule="auto"/>
        <w:contextualSpacing/>
        <w:rPr>
          <w:rFonts w:ascii="Times New Roman" w:hAnsi="Times New Roman" w:cs="Times New Roman"/>
          <w:b/>
          <w:sz w:val="24"/>
          <w:szCs w:val="24"/>
        </w:rPr>
      </w:pPr>
      <w:r w:rsidRPr="0040718D">
        <w:rPr>
          <w:rFonts w:ascii="Times New Roman" w:hAnsi="Times New Roman" w:cs="Times New Roman"/>
          <w:b/>
          <w:sz w:val="24"/>
          <w:szCs w:val="24"/>
        </w:rPr>
        <w:t>Working Capital Management</w:t>
      </w:r>
    </w:p>
    <w:p w:rsidR="0040718D" w:rsidRDefault="00D87E81" w:rsidP="00733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Additionally, working capital management is a metric that is used to establish the efficacy of organizations in terms of their short-term financial statuses. The managerial structure sets aside capital for short-term financing from external sources while m</w:t>
      </w:r>
      <w:r>
        <w:rPr>
          <w:rFonts w:ascii="Times New Roman" w:hAnsi="Times New Roman" w:cs="Times New Roman"/>
          <w:sz w:val="24"/>
          <w:szCs w:val="24"/>
        </w:rPr>
        <w:t>aintaining their assets. Organizations invest in current assets that can easily be liquefied to manage the cash flow in circulation.  In this regard, companies can match their assets and liabilities until they mature</w:t>
      </w:r>
      <w:r w:rsidR="004E17C1">
        <w:rPr>
          <w:rFonts w:ascii="Times New Roman" w:hAnsi="Times New Roman" w:cs="Times New Roman"/>
          <w:sz w:val="24"/>
          <w:szCs w:val="24"/>
        </w:rPr>
        <w:t>. From a performance standpoint, organizations can manage their inventories effectively through maintenance of the right stock that prevent the reduction in the sales levels and customers' delays. Inventory control optimization methodologies enable firms to keep track of their stock to determine slow-moving and fast-moving items. Also, firms can manage receivables that encompass opportunity costs and time values that associate with bad debts</w:t>
      </w:r>
      <w:r w:rsidR="001A418B">
        <w:rPr>
          <w:rFonts w:ascii="Times New Roman" w:hAnsi="Times New Roman" w:cs="Times New Roman"/>
          <w:sz w:val="24"/>
          <w:szCs w:val="24"/>
        </w:rPr>
        <w:t xml:space="preserve"> (Ganesan, 2017)</w:t>
      </w:r>
      <w:r w:rsidR="004E17C1">
        <w:rPr>
          <w:rFonts w:ascii="Times New Roman" w:hAnsi="Times New Roman" w:cs="Times New Roman"/>
          <w:sz w:val="24"/>
          <w:szCs w:val="24"/>
        </w:rPr>
        <w:t xml:space="preserve">. The managers are also able to prepare measurement reports from the feedback obtained from credit and treasury departments. </w:t>
      </w:r>
      <w:r>
        <w:rPr>
          <w:rFonts w:ascii="Times New Roman" w:hAnsi="Times New Roman" w:cs="Times New Roman"/>
          <w:sz w:val="24"/>
          <w:szCs w:val="24"/>
        </w:rPr>
        <w:t xml:space="preserve">The working capital management strategy prevents managers from </w:t>
      </w:r>
      <w:r>
        <w:rPr>
          <w:rFonts w:ascii="Times New Roman" w:hAnsi="Times New Roman" w:cs="Times New Roman"/>
          <w:sz w:val="24"/>
          <w:szCs w:val="24"/>
        </w:rPr>
        <w:lastRenderedPageBreak/>
        <w:t>excessively focusing on income statements while disregarding the balance sheets consequently improving cash flow within their orga</w:t>
      </w:r>
      <w:r w:rsidR="00EF4AC1">
        <w:rPr>
          <w:rFonts w:ascii="Times New Roman" w:hAnsi="Times New Roman" w:cs="Times New Roman"/>
          <w:sz w:val="24"/>
          <w:szCs w:val="24"/>
        </w:rPr>
        <w:t xml:space="preserve">nizations (Dahiya, 2012). </w:t>
      </w:r>
      <w:r w:rsidR="004E17C1">
        <w:rPr>
          <w:rFonts w:ascii="Times New Roman" w:hAnsi="Times New Roman" w:cs="Times New Roman"/>
          <w:sz w:val="24"/>
          <w:szCs w:val="24"/>
        </w:rPr>
        <w:t>Again, the accuracy of receivable records are ensured since most financial accounts are centralized making them secure.</w:t>
      </w:r>
    </w:p>
    <w:p w:rsidR="0040718D" w:rsidRPr="0040718D" w:rsidRDefault="00D87E81" w:rsidP="00733A0F">
      <w:pPr>
        <w:spacing w:after="0" w:line="480" w:lineRule="auto"/>
        <w:contextualSpacing/>
        <w:rPr>
          <w:rFonts w:ascii="Times New Roman" w:hAnsi="Times New Roman" w:cs="Times New Roman"/>
          <w:b/>
          <w:sz w:val="24"/>
          <w:szCs w:val="24"/>
        </w:rPr>
      </w:pPr>
      <w:r w:rsidRPr="0040718D">
        <w:rPr>
          <w:rFonts w:ascii="Times New Roman" w:hAnsi="Times New Roman" w:cs="Times New Roman"/>
          <w:b/>
          <w:sz w:val="24"/>
          <w:szCs w:val="24"/>
        </w:rPr>
        <w:t>Financial Assessment Performance</w:t>
      </w:r>
    </w:p>
    <w:p w:rsidR="001A418B" w:rsidRDefault="00D87E81" w:rsidP="00733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In addition, financial performance assessment involves is a business planning strategy that involves the d</w:t>
      </w:r>
      <w:r>
        <w:rPr>
          <w:rFonts w:ascii="Times New Roman" w:hAnsi="Times New Roman" w:cs="Times New Roman"/>
          <w:sz w:val="24"/>
          <w:szCs w:val="24"/>
        </w:rPr>
        <w:t>evelopment and implementation of sound financial and management frameworks. Carrying out financial evaluation enables managers to meet their business objectives, and identify loopholes that can be improved to make the business profitable. In this regard, m</w:t>
      </w:r>
      <w:r>
        <w:rPr>
          <w:rFonts w:ascii="Times New Roman" w:hAnsi="Times New Roman" w:cs="Times New Roman"/>
          <w:sz w:val="24"/>
          <w:szCs w:val="24"/>
        </w:rPr>
        <w:t xml:space="preserve">anagerial </w:t>
      </w:r>
      <w:r w:rsidR="007A154B">
        <w:rPr>
          <w:rFonts w:ascii="Times New Roman" w:hAnsi="Times New Roman" w:cs="Times New Roman"/>
          <w:sz w:val="24"/>
          <w:szCs w:val="24"/>
        </w:rPr>
        <w:t>personnel should consistently review cash-flow and update their findings to predict market trends. Also, the maintenance of working capital</w:t>
      </w:r>
      <w:r w:rsidR="00924669">
        <w:rPr>
          <w:rFonts w:ascii="Times New Roman" w:hAnsi="Times New Roman" w:cs="Times New Roman"/>
          <w:sz w:val="24"/>
          <w:szCs w:val="24"/>
        </w:rPr>
        <w:t xml:space="preserve"> ensures that sale prices cover business expenses. Again, the managers can establish cheaper ways of accumulating capital rather than borrowing; therefore, ensuring the business is continuously growing. The essentiality of financial performance assessment is derived from the capability of the business to maintain or increase its profit margins</w:t>
      </w:r>
      <w:r w:rsidR="001B4447">
        <w:rPr>
          <w:rFonts w:ascii="Times New Roman" w:hAnsi="Times New Roman" w:cs="Times New Roman"/>
          <w:sz w:val="24"/>
          <w:szCs w:val="24"/>
        </w:rPr>
        <w:t xml:space="preserve"> (Al-Kassar &amp; Soileau, 2014)</w:t>
      </w:r>
      <w:r w:rsidR="00924669">
        <w:rPr>
          <w:rFonts w:ascii="Times New Roman" w:hAnsi="Times New Roman" w:cs="Times New Roman"/>
          <w:sz w:val="24"/>
          <w:szCs w:val="24"/>
        </w:rPr>
        <w:t>. Companies can determine whether their revenue exceeds their expenditure using the measurements from profit ratios. Succinctly outlining the performance assessment metrics enables firms to establish their liquidity, solvency, and efficiency.</w:t>
      </w:r>
      <w:r w:rsidR="001B4447">
        <w:rPr>
          <w:rFonts w:ascii="Times New Roman" w:hAnsi="Times New Roman" w:cs="Times New Roman"/>
          <w:sz w:val="24"/>
          <w:szCs w:val="24"/>
        </w:rPr>
        <w:t xml:space="preserve"> Consequently, firms can meet their short-term obligations, stabilize their income, and measure their stock turnovers. </w:t>
      </w:r>
    </w:p>
    <w:p w:rsidR="0040718D" w:rsidRPr="0040718D" w:rsidRDefault="00D87E81" w:rsidP="00733A0F">
      <w:pPr>
        <w:spacing w:after="0" w:line="480" w:lineRule="auto"/>
        <w:contextualSpacing/>
        <w:rPr>
          <w:rFonts w:ascii="Times New Roman" w:hAnsi="Times New Roman" w:cs="Times New Roman"/>
          <w:b/>
          <w:sz w:val="24"/>
          <w:szCs w:val="24"/>
        </w:rPr>
      </w:pPr>
      <w:r w:rsidRPr="0040718D">
        <w:rPr>
          <w:rFonts w:ascii="Times New Roman" w:hAnsi="Times New Roman" w:cs="Times New Roman"/>
          <w:b/>
          <w:sz w:val="24"/>
          <w:szCs w:val="24"/>
        </w:rPr>
        <w:t>Capital Investment Appraisal</w:t>
      </w:r>
    </w:p>
    <w:p w:rsidR="00DE595C" w:rsidRDefault="00D87E81" w:rsidP="00733A0F">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Capital investment appraisal is primarily measuring the cash inflow whether in surplus or deficit after the fin</w:t>
      </w:r>
      <w:r>
        <w:rPr>
          <w:rFonts w:ascii="Times New Roman" w:hAnsi="Times New Roman" w:cs="Times New Roman"/>
          <w:sz w:val="24"/>
          <w:szCs w:val="24"/>
        </w:rPr>
        <w:t xml:space="preserve">ancial obligation of a firm has been met. </w:t>
      </w:r>
      <w:r w:rsidR="00C113E1">
        <w:rPr>
          <w:rFonts w:ascii="Times New Roman" w:hAnsi="Times New Roman" w:cs="Times New Roman"/>
          <w:sz w:val="24"/>
          <w:szCs w:val="24"/>
        </w:rPr>
        <w:t xml:space="preserve">Therefore, firms can compare the expected returns from the investments made. Businesses can determine the attractiveness of investment opportunities from their payback periods. From accounting rate return (ARR), firms </w:t>
      </w:r>
      <w:r w:rsidR="00C113E1">
        <w:rPr>
          <w:rFonts w:ascii="Times New Roman" w:hAnsi="Times New Roman" w:cs="Times New Roman"/>
          <w:sz w:val="24"/>
          <w:szCs w:val="24"/>
        </w:rPr>
        <w:lastRenderedPageBreak/>
        <w:t xml:space="preserve">can compute their profits as a percentage of the expenses. Also, cash-flow methodologies enable the business to comprehend how the fluctuation of discount rates affects the valuation of money with time. Capital-intensive investments are successful </w:t>
      </w:r>
      <w:r w:rsidR="009724B1">
        <w:rPr>
          <w:rFonts w:ascii="Times New Roman" w:hAnsi="Times New Roman" w:cs="Times New Roman"/>
          <w:sz w:val="24"/>
          <w:szCs w:val="24"/>
        </w:rPr>
        <w:t xml:space="preserve">after the analysis of the product life cycle and the termination costs calculated. Managers often </w:t>
      </w:r>
      <w:r>
        <w:rPr>
          <w:rFonts w:ascii="Times New Roman" w:hAnsi="Times New Roman" w:cs="Times New Roman"/>
          <w:sz w:val="24"/>
          <w:szCs w:val="24"/>
        </w:rPr>
        <w:t>prescribe to investment options that have the lowest life cycles to offer the best value for their capital. Importantly, investment appraisal is done to spark org</w:t>
      </w:r>
      <w:r>
        <w:rPr>
          <w:rFonts w:ascii="Times New Roman" w:hAnsi="Times New Roman" w:cs="Times New Roman"/>
          <w:sz w:val="24"/>
          <w:szCs w:val="24"/>
        </w:rPr>
        <w:t>anizational change to improve the morale of the workers. Meeting strategic objectives is made possible using standard portfolios that include every employee in the decision-making process. Besides, firms can create an appraisal framework that enables the r</w:t>
      </w:r>
      <w:r>
        <w:rPr>
          <w:rFonts w:ascii="Times New Roman" w:hAnsi="Times New Roman" w:cs="Times New Roman"/>
          <w:sz w:val="24"/>
          <w:szCs w:val="24"/>
        </w:rPr>
        <w:t>euse of items and avoid double counting benefits</w:t>
      </w:r>
      <w:r w:rsidR="0040718D">
        <w:rPr>
          <w:rFonts w:ascii="Times New Roman" w:hAnsi="Times New Roman" w:cs="Times New Roman"/>
          <w:sz w:val="24"/>
          <w:szCs w:val="24"/>
        </w:rPr>
        <w:t xml:space="preserve">. The speed and agility of the appraisal process ensure capacity planning to effectively allocate capital to satisfy the expected revenues (Banham, 2017). </w:t>
      </w:r>
      <w:r>
        <w:rPr>
          <w:rFonts w:ascii="Times New Roman" w:hAnsi="Times New Roman" w:cs="Times New Roman"/>
          <w:sz w:val="24"/>
          <w:szCs w:val="24"/>
        </w:rPr>
        <w:t>The existing projects are evaluated against other inv</w:t>
      </w:r>
      <w:r>
        <w:rPr>
          <w:rFonts w:ascii="Times New Roman" w:hAnsi="Times New Roman" w:cs="Times New Roman"/>
          <w:sz w:val="24"/>
          <w:szCs w:val="24"/>
        </w:rPr>
        <w:t xml:space="preserve">estment alternatives </w:t>
      </w:r>
      <w:r w:rsidR="008C6F5B">
        <w:rPr>
          <w:rFonts w:ascii="Times New Roman" w:hAnsi="Times New Roman" w:cs="Times New Roman"/>
          <w:sz w:val="24"/>
          <w:szCs w:val="24"/>
        </w:rPr>
        <w:t>and using the data collected, and the management team can carry out analytics on the financial plans. In this regard, the technique is a quantifiable approach that ensures optimal financial returns.</w:t>
      </w:r>
    </w:p>
    <w:p w:rsidR="00E64D2D" w:rsidRDefault="00E64D2D" w:rsidP="00733A0F">
      <w:pPr>
        <w:spacing w:after="0" w:line="480" w:lineRule="auto"/>
        <w:ind w:firstLine="720"/>
        <w:contextualSpacing/>
        <w:rPr>
          <w:rFonts w:ascii="Times New Roman" w:hAnsi="Times New Roman" w:cs="Times New Roman"/>
          <w:sz w:val="24"/>
          <w:szCs w:val="24"/>
        </w:rPr>
      </w:pPr>
    </w:p>
    <w:p w:rsidR="00733A0F" w:rsidRDefault="00733A0F">
      <w:pPr>
        <w:rPr>
          <w:rFonts w:ascii="Times New Roman" w:hAnsi="Times New Roman" w:cs="Times New Roman"/>
          <w:sz w:val="24"/>
          <w:szCs w:val="24"/>
        </w:rPr>
      </w:pPr>
      <w:r>
        <w:rPr>
          <w:rFonts w:ascii="Times New Roman" w:hAnsi="Times New Roman" w:cs="Times New Roman"/>
          <w:sz w:val="24"/>
          <w:szCs w:val="24"/>
        </w:rPr>
        <w:br w:type="page"/>
      </w:r>
    </w:p>
    <w:p w:rsidR="00E64D2D" w:rsidRDefault="00D87E81" w:rsidP="00733A0F">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33A0F" w:rsidRDefault="00733A0F" w:rsidP="00733A0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Accounting Tools. (2018). Dividend policy. Retrieved from </w:t>
      </w:r>
      <w:hyperlink r:id="rId6" w:history="1">
        <w:r w:rsidRPr="009E66DF">
          <w:rPr>
            <w:rStyle w:val="Hyperlink"/>
            <w:rFonts w:ascii="Times New Roman" w:hAnsi="Times New Roman" w:cs="Times New Roman"/>
            <w:sz w:val="24"/>
            <w:szCs w:val="24"/>
          </w:rPr>
          <w:t>https://www.accountingtools.com/articles/2017/5/9/dividend-policy</w:t>
        </w:r>
      </w:hyperlink>
    </w:p>
    <w:p w:rsidR="00733A0F" w:rsidRDefault="00733A0F" w:rsidP="00733A0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Al-</w:t>
      </w:r>
      <w:proofErr w:type="spellStart"/>
      <w:r>
        <w:rPr>
          <w:rFonts w:ascii="Times New Roman" w:hAnsi="Times New Roman" w:cs="Times New Roman"/>
          <w:sz w:val="24"/>
          <w:szCs w:val="24"/>
        </w:rPr>
        <w:t>Kassar</w:t>
      </w:r>
      <w:proofErr w:type="spellEnd"/>
      <w:r>
        <w:rPr>
          <w:rFonts w:ascii="Times New Roman" w:hAnsi="Times New Roman" w:cs="Times New Roman"/>
          <w:sz w:val="24"/>
          <w:szCs w:val="24"/>
        </w:rPr>
        <w:t xml:space="preserve">, T. &amp; Soileau, J. (2014). Financial performance evaluation and bankruptcy </w:t>
      </w:r>
      <w:proofErr w:type="spellStart"/>
      <w:r>
        <w:rPr>
          <w:rFonts w:ascii="Times New Roman" w:hAnsi="Times New Roman" w:cs="Times New Roman"/>
          <w:sz w:val="24"/>
          <w:szCs w:val="24"/>
        </w:rPr>
        <w:t>predition</w:t>
      </w:r>
      <w:proofErr w:type="spellEnd"/>
      <w:r>
        <w:rPr>
          <w:rFonts w:ascii="Times New Roman" w:hAnsi="Times New Roman" w:cs="Times New Roman"/>
          <w:sz w:val="24"/>
          <w:szCs w:val="24"/>
        </w:rPr>
        <w:t xml:space="preserve"> Failure (1). Research Gate.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xml:space="preserve">: </w:t>
      </w:r>
      <w:r w:rsidRPr="00094F45">
        <w:rPr>
          <w:rFonts w:ascii="Times New Roman" w:hAnsi="Times New Roman" w:cs="Times New Roman"/>
          <w:sz w:val="24"/>
          <w:szCs w:val="24"/>
        </w:rPr>
        <w:t>10.1016/j.aebj.2014.05.010</w:t>
      </w:r>
    </w:p>
    <w:p w:rsidR="00733A0F" w:rsidRDefault="00733A0F" w:rsidP="00733A0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Banham, R. (2017). The best path forward. CFO. Retrieved from </w:t>
      </w:r>
      <w:hyperlink r:id="rId7" w:history="1">
        <w:r w:rsidRPr="009E66DF">
          <w:rPr>
            <w:rStyle w:val="Hyperlink"/>
            <w:rFonts w:ascii="Times New Roman" w:hAnsi="Times New Roman" w:cs="Times New Roman"/>
            <w:sz w:val="24"/>
            <w:szCs w:val="24"/>
          </w:rPr>
          <w:t>http://www.cfo.com/budgeting/2017/10/best-path-forward/</w:t>
        </w:r>
      </w:hyperlink>
    </w:p>
    <w:p w:rsidR="00733A0F" w:rsidRDefault="00733A0F" w:rsidP="00733A0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Butt, B. Z., Hunjra, A. I., &amp; Rehman, K. (2010). Financial management and their impact on Organization performance. </w:t>
      </w:r>
      <w:r w:rsidRPr="00094F45">
        <w:rPr>
          <w:rFonts w:ascii="Times New Roman" w:hAnsi="Times New Roman" w:cs="Times New Roman"/>
          <w:i/>
          <w:sz w:val="24"/>
          <w:szCs w:val="24"/>
        </w:rPr>
        <w:t>World Applied Sciences Journal</w:t>
      </w:r>
      <w:r>
        <w:rPr>
          <w:rFonts w:ascii="Times New Roman" w:hAnsi="Times New Roman" w:cs="Times New Roman"/>
          <w:sz w:val="24"/>
          <w:szCs w:val="24"/>
        </w:rPr>
        <w:t>. 9(9), pp. 997-1002.</w:t>
      </w:r>
    </w:p>
    <w:p w:rsidR="00733A0F" w:rsidRDefault="00733A0F" w:rsidP="00733A0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Dahiya, S. (2012). Working capital simulation: Managing growth. Harvard Business Review. Retrieved from </w:t>
      </w:r>
      <w:hyperlink r:id="rId8" w:history="1">
        <w:r w:rsidRPr="009E66DF">
          <w:rPr>
            <w:rStyle w:val="Hyperlink"/>
            <w:rFonts w:ascii="Times New Roman" w:hAnsi="Times New Roman" w:cs="Times New Roman"/>
            <w:sz w:val="24"/>
            <w:szCs w:val="24"/>
          </w:rPr>
          <w:t>https://hbr.org/product/working-capital-simulation-managing-growth/an/4302HB-HTM-ENG</w:t>
        </w:r>
      </w:hyperlink>
    </w:p>
    <w:p w:rsidR="00733A0F" w:rsidRDefault="00733A0F" w:rsidP="00733A0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Ganesan, V. (2007). An analysis of working capital management efficiency in Telecommunication equipment industry</w:t>
      </w:r>
      <w:r w:rsidRPr="00094F45">
        <w:rPr>
          <w:rFonts w:ascii="Times New Roman" w:hAnsi="Times New Roman" w:cs="Times New Roman"/>
          <w:i/>
          <w:sz w:val="24"/>
          <w:szCs w:val="24"/>
        </w:rPr>
        <w:t>. Rivier Academic Journal.</w:t>
      </w:r>
      <w:r>
        <w:rPr>
          <w:rFonts w:ascii="Times New Roman" w:hAnsi="Times New Roman" w:cs="Times New Roman"/>
          <w:sz w:val="24"/>
          <w:szCs w:val="24"/>
        </w:rPr>
        <w:t xml:space="preserve"> 3(2), pp. 1-10.</w:t>
      </w:r>
    </w:p>
    <w:p w:rsidR="00733A0F" w:rsidRDefault="00733A0F" w:rsidP="00733A0F">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Modugu, K. P. Capital structure decision. </w:t>
      </w:r>
      <w:r w:rsidRPr="00094F45">
        <w:rPr>
          <w:rFonts w:ascii="Times New Roman" w:hAnsi="Times New Roman" w:cs="Times New Roman"/>
          <w:i/>
          <w:sz w:val="24"/>
          <w:szCs w:val="24"/>
        </w:rPr>
        <w:t>Journal of Finance and Bank Management</w:t>
      </w:r>
      <w:r>
        <w:rPr>
          <w:rFonts w:ascii="Times New Roman" w:hAnsi="Times New Roman" w:cs="Times New Roman"/>
          <w:sz w:val="24"/>
          <w:szCs w:val="24"/>
        </w:rPr>
        <w:t>. 1(1), pp. 14-27.</w:t>
      </w:r>
    </w:p>
    <w:p w:rsidR="00DE595C" w:rsidRDefault="00DE595C" w:rsidP="00733A0F">
      <w:pPr>
        <w:spacing w:after="0" w:line="480" w:lineRule="auto"/>
        <w:ind w:firstLine="720"/>
        <w:contextualSpacing/>
        <w:rPr>
          <w:rFonts w:ascii="Times New Roman" w:hAnsi="Times New Roman" w:cs="Times New Roman"/>
          <w:sz w:val="24"/>
          <w:szCs w:val="24"/>
        </w:rPr>
      </w:pPr>
    </w:p>
    <w:p w:rsidR="00DE595C" w:rsidRDefault="00DE595C" w:rsidP="00733A0F">
      <w:pPr>
        <w:spacing w:after="0" w:line="480" w:lineRule="auto"/>
        <w:ind w:firstLine="720"/>
        <w:contextualSpacing/>
        <w:rPr>
          <w:rFonts w:ascii="Times New Roman" w:hAnsi="Times New Roman" w:cs="Times New Roman"/>
          <w:sz w:val="24"/>
          <w:szCs w:val="24"/>
        </w:rPr>
      </w:pPr>
    </w:p>
    <w:p w:rsidR="00A81EA2" w:rsidRDefault="00D87E81" w:rsidP="00733A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p>
    <w:p w:rsidR="00A81EA2" w:rsidRDefault="00A81EA2" w:rsidP="00733A0F">
      <w:pPr>
        <w:spacing w:after="0" w:line="480" w:lineRule="auto"/>
        <w:ind w:firstLine="720"/>
        <w:contextualSpacing/>
        <w:rPr>
          <w:rFonts w:ascii="Times New Roman" w:hAnsi="Times New Roman" w:cs="Times New Roman"/>
          <w:sz w:val="24"/>
          <w:szCs w:val="24"/>
        </w:rPr>
      </w:pPr>
    </w:p>
    <w:p w:rsidR="00A81EA2" w:rsidRDefault="00A81EA2" w:rsidP="00733A0F">
      <w:pPr>
        <w:spacing w:after="0" w:line="480" w:lineRule="auto"/>
        <w:ind w:firstLine="720"/>
        <w:contextualSpacing/>
        <w:rPr>
          <w:rFonts w:ascii="Times New Roman" w:hAnsi="Times New Roman" w:cs="Times New Roman"/>
          <w:sz w:val="24"/>
          <w:szCs w:val="24"/>
        </w:rPr>
      </w:pPr>
    </w:p>
    <w:p w:rsidR="00A81EA2" w:rsidRDefault="00A81EA2" w:rsidP="00733A0F">
      <w:pPr>
        <w:spacing w:after="0" w:line="480" w:lineRule="auto"/>
        <w:ind w:firstLine="720"/>
        <w:contextualSpacing/>
        <w:rPr>
          <w:rFonts w:ascii="Times New Roman" w:hAnsi="Times New Roman" w:cs="Times New Roman"/>
          <w:sz w:val="24"/>
          <w:szCs w:val="24"/>
        </w:rPr>
      </w:pPr>
    </w:p>
    <w:p w:rsidR="00D81790" w:rsidRPr="00D81790" w:rsidRDefault="00D87E81" w:rsidP="00733A0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p>
    <w:p w:rsidR="00D81790" w:rsidRPr="00D81790" w:rsidRDefault="00D81790" w:rsidP="00733A0F">
      <w:pPr>
        <w:spacing w:after="0" w:line="480" w:lineRule="auto"/>
        <w:ind w:firstLine="720"/>
        <w:contextualSpacing/>
        <w:rPr>
          <w:rFonts w:ascii="Times New Roman" w:hAnsi="Times New Roman" w:cs="Times New Roman"/>
          <w:sz w:val="24"/>
          <w:szCs w:val="24"/>
        </w:rPr>
      </w:pPr>
    </w:p>
    <w:sectPr w:rsidR="00D81790" w:rsidRPr="00D81790" w:rsidSect="00D8179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E81" w:rsidRDefault="00D87E81">
      <w:pPr>
        <w:spacing w:after="0" w:line="240" w:lineRule="auto"/>
      </w:pPr>
      <w:r>
        <w:separator/>
      </w:r>
    </w:p>
  </w:endnote>
  <w:endnote w:type="continuationSeparator" w:id="0">
    <w:p w:rsidR="00D87E81" w:rsidRDefault="00D87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E81" w:rsidRDefault="00D87E81">
      <w:pPr>
        <w:spacing w:after="0" w:line="240" w:lineRule="auto"/>
      </w:pPr>
      <w:r>
        <w:separator/>
      </w:r>
    </w:p>
  </w:footnote>
  <w:footnote w:type="continuationSeparator" w:id="0">
    <w:p w:rsidR="00D87E81" w:rsidRDefault="00D87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790" w:rsidRPr="00D81790" w:rsidRDefault="005B3F33" w:rsidP="00D81790">
    <w:pPr>
      <w:pStyle w:val="Header"/>
      <w:spacing w:line="480" w:lineRule="auto"/>
      <w:rPr>
        <w:rFonts w:ascii="Times New Roman" w:hAnsi="Times New Roman" w:cs="Times New Roman"/>
        <w:sz w:val="24"/>
        <w:szCs w:val="24"/>
      </w:rPr>
    </w:pPr>
    <w:r>
      <w:rPr>
        <w:rFonts w:ascii="Times New Roman" w:hAnsi="Times New Roman" w:cs="Times New Roman"/>
        <w:sz w:val="24"/>
        <w:szCs w:val="24"/>
      </w:rPr>
      <w:t>FINANCIAL MANAGEMENT PRACTICES</w:t>
    </w:r>
    <w:r w:rsidR="00D87E81">
      <w:rPr>
        <w:rFonts w:ascii="Times New Roman" w:hAnsi="Times New Roman" w:cs="Times New Roman"/>
        <w:sz w:val="24"/>
        <w:szCs w:val="24"/>
      </w:rPr>
      <w:tab/>
    </w:r>
    <w:r w:rsidR="00D87E81">
      <w:rPr>
        <w:rFonts w:ascii="Times New Roman" w:hAnsi="Times New Roman" w:cs="Times New Roman"/>
        <w:sz w:val="24"/>
        <w:szCs w:val="24"/>
      </w:rPr>
      <w:tab/>
    </w:r>
    <w:sdt>
      <w:sdtPr>
        <w:rPr>
          <w:rFonts w:ascii="Times New Roman" w:hAnsi="Times New Roman" w:cs="Times New Roman"/>
          <w:sz w:val="24"/>
          <w:szCs w:val="24"/>
        </w:rPr>
        <w:id w:val="-222301207"/>
        <w:docPartObj>
          <w:docPartGallery w:val="Page Numbers (Top of Page)"/>
          <w:docPartUnique/>
        </w:docPartObj>
      </w:sdtPr>
      <w:sdtEndPr>
        <w:rPr>
          <w:noProof/>
        </w:rPr>
      </w:sdtEndPr>
      <w:sdtContent>
        <w:r w:rsidR="00D87E81" w:rsidRPr="00D81790">
          <w:rPr>
            <w:rFonts w:ascii="Times New Roman" w:hAnsi="Times New Roman" w:cs="Times New Roman"/>
            <w:sz w:val="24"/>
            <w:szCs w:val="24"/>
          </w:rPr>
          <w:fldChar w:fldCharType="begin"/>
        </w:r>
        <w:r w:rsidR="00D87E81" w:rsidRPr="00D81790">
          <w:rPr>
            <w:rFonts w:ascii="Times New Roman" w:hAnsi="Times New Roman" w:cs="Times New Roman"/>
            <w:sz w:val="24"/>
            <w:szCs w:val="24"/>
          </w:rPr>
          <w:instrText xml:space="preserve"> PAGE   \* MERGEFORMAT </w:instrText>
        </w:r>
        <w:r w:rsidR="00D87E81" w:rsidRPr="00D81790">
          <w:rPr>
            <w:rFonts w:ascii="Times New Roman" w:hAnsi="Times New Roman" w:cs="Times New Roman"/>
            <w:sz w:val="24"/>
            <w:szCs w:val="24"/>
          </w:rPr>
          <w:fldChar w:fldCharType="separate"/>
        </w:r>
        <w:r>
          <w:rPr>
            <w:rFonts w:ascii="Times New Roman" w:hAnsi="Times New Roman" w:cs="Times New Roman"/>
            <w:noProof/>
            <w:sz w:val="24"/>
            <w:szCs w:val="24"/>
          </w:rPr>
          <w:t>5</w:t>
        </w:r>
        <w:r w:rsidR="00D87E81" w:rsidRPr="00D81790">
          <w:rPr>
            <w:rFonts w:ascii="Times New Roman" w:hAnsi="Times New Roman" w:cs="Times New Roman"/>
            <w:noProof/>
            <w:sz w:val="24"/>
            <w:szCs w:val="24"/>
          </w:rPr>
          <w:fldChar w:fldCharType="end"/>
        </w:r>
      </w:sdtContent>
    </w:sdt>
  </w:p>
  <w:p w:rsidR="00D81790" w:rsidRDefault="00D8179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790" w:rsidRPr="005B3F33" w:rsidRDefault="00D87E81" w:rsidP="005B3F33">
    <w:pPr>
      <w:pStyle w:val="Header"/>
      <w:spacing w:line="480" w:lineRule="auto"/>
      <w:rPr>
        <w:rFonts w:ascii="Times New Roman" w:hAnsi="Times New Roman" w:cs="Times New Roman"/>
        <w:sz w:val="24"/>
        <w:szCs w:val="24"/>
      </w:rPr>
    </w:pPr>
    <w:r w:rsidRPr="00D81790">
      <w:rPr>
        <w:rFonts w:ascii="Times New Roman" w:hAnsi="Times New Roman" w:cs="Times New Roman"/>
        <w:sz w:val="24"/>
        <w:szCs w:val="24"/>
      </w:rPr>
      <w:t>Running head: FINANCIAL MANAGEMENT PRACTICES</w:t>
    </w:r>
    <w:r w:rsidR="005B3F33">
      <w:rPr>
        <w:rFonts w:ascii="Times New Roman" w:hAnsi="Times New Roman" w:cs="Times New Roman"/>
        <w:sz w:val="24"/>
        <w:szCs w:val="24"/>
      </w:rPr>
      <w:tab/>
    </w:r>
    <w:r w:rsidRPr="00D81790">
      <w:rPr>
        <w:rFonts w:ascii="Times New Roman" w:hAnsi="Times New Roman" w:cs="Times New Roman"/>
        <w:sz w:val="24"/>
        <w:szCs w:val="24"/>
      </w:rPr>
      <w:t xml:space="preserve"> </w:t>
    </w:r>
    <w:sdt>
      <w:sdtPr>
        <w:rPr>
          <w:rFonts w:ascii="Times New Roman" w:hAnsi="Times New Roman" w:cs="Times New Roman"/>
          <w:sz w:val="24"/>
          <w:szCs w:val="24"/>
        </w:rPr>
        <w:id w:val="728047220"/>
        <w:docPartObj>
          <w:docPartGallery w:val="Page Numbers (Top of Page)"/>
          <w:docPartUnique/>
        </w:docPartObj>
      </w:sdtPr>
      <w:sdtEndPr>
        <w:rPr>
          <w:noProof/>
        </w:rPr>
      </w:sdtEndPr>
      <w:sdtContent>
        <w:r w:rsidRPr="00D81790">
          <w:rPr>
            <w:rFonts w:ascii="Times New Roman" w:hAnsi="Times New Roman" w:cs="Times New Roman"/>
            <w:sz w:val="24"/>
            <w:szCs w:val="24"/>
          </w:rPr>
          <w:fldChar w:fldCharType="begin"/>
        </w:r>
        <w:r w:rsidRPr="00D81790">
          <w:rPr>
            <w:rFonts w:ascii="Times New Roman" w:hAnsi="Times New Roman" w:cs="Times New Roman"/>
            <w:sz w:val="24"/>
            <w:szCs w:val="24"/>
          </w:rPr>
          <w:instrText xml:space="preserve"> PAGE   \* MERGEFORMAT </w:instrText>
        </w:r>
        <w:r w:rsidRPr="00D81790">
          <w:rPr>
            <w:rFonts w:ascii="Times New Roman" w:hAnsi="Times New Roman" w:cs="Times New Roman"/>
            <w:sz w:val="24"/>
            <w:szCs w:val="24"/>
          </w:rPr>
          <w:fldChar w:fldCharType="separate"/>
        </w:r>
        <w:r w:rsidR="005B3F33">
          <w:rPr>
            <w:rFonts w:ascii="Times New Roman" w:hAnsi="Times New Roman" w:cs="Times New Roman"/>
            <w:noProof/>
            <w:sz w:val="24"/>
            <w:szCs w:val="24"/>
          </w:rPr>
          <w:t>1</w:t>
        </w:r>
        <w:r w:rsidRPr="00D8179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790"/>
    <w:rsid w:val="000249A4"/>
    <w:rsid w:val="00094F45"/>
    <w:rsid w:val="001A418B"/>
    <w:rsid w:val="001B4447"/>
    <w:rsid w:val="002736D7"/>
    <w:rsid w:val="002C5443"/>
    <w:rsid w:val="00394908"/>
    <w:rsid w:val="0040718D"/>
    <w:rsid w:val="00416AEA"/>
    <w:rsid w:val="004B43D3"/>
    <w:rsid w:val="004E17C1"/>
    <w:rsid w:val="005B3F33"/>
    <w:rsid w:val="007203BD"/>
    <w:rsid w:val="00733A0F"/>
    <w:rsid w:val="007A154B"/>
    <w:rsid w:val="008C6F5B"/>
    <w:rsid w:val="008F2E18"/>
    <w:rsid w:val="00924669"/>
    <w:rsid w:val="009724B1"/>
    <w:rsid w:val="009E66DF"/>
    <w:rsid w:val="00A734FB"/>
    <w:rsid w:val="00A81EA2"/>
    <w:rsid w:val="00C113E1"/>
    <w:rsid w:val="00D5103B"/>
    <w:rsid w:val="00D81790"/>
    <w:rsid w:val="00D87E81"/>
    <w:rsid w:val="00DE595C"/>
    <w:rsid w:val="00E64D2D"/>
    <w:rsid w:val="00EF3BFB"/>
    <w:rsid w:val="00EF4AC1"/>
    <w:rsid w:val="00F43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F3C32"/>
  <w15:docId w15:val="{1667C8FF-D7FF-47D6-8FFF-7FFA4511B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790"/>
  </w:style>
  <w:style w:type="paragraph" w:styleId="Footer">
    <w:name w:val="footer"/>
    <w:basedOn w:val="Normal"/>
    <w:link w:val="FooterChar"/>
    <w:uiPriority w:val="99"/>
    <w:unhideWhenUsed/>
    <w:rsid w:val="00D81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790"/>
  </w:style>
  <w:style w:type="character" w:styleId="Hyperlink">
    <w:name w:val="Hyperlink"/>
    <w:basedOn w:val="DefaultParagraphFont"/>
    <w:uiPriority w:val="99"/>
    <w:unhideWhenUsed/>
    <w:rsid w:val="00E64D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product/working-capital-simulation-managing-growth/an/4302HB-HTM-ENG" TargetMode="External"/><Relationship Id="rId3" Type="http://schemas.openxmlformats.org/officeDocument/2006/relationships/webSettings" Target="webSettings.xml"/><Relationship Id="rId7" Type="http://schemas.openxmlformats.org/officeDocument/2006/relationships/hyperlink" Target="http://www.cfo.com/budgeting/2017/10/best-path-forwar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countingtools.com/articles/2017/5/9/dividend-policy"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1620</Words>
  <Characters>9238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2019-02-22T19:14:00Z</dcterms:created>
  <dcterms:modified xsi:type="dcterms:W3CDTF">2019-02-22T19:14:00Z</dcterms:modified>
</cp:coreProperties>
</file>